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97" w:type="dxa"/>
        <w:tblInd w:w="-504" w:type="dxa"/>
        <w:tblLook w:val="00BF"/>
      </w:tblPr>
      <w:tblGrid>
        <w:gridCol w:w="1620"/>
        <w:gridCol w:w="1336"/>
        <w:gridCol w:w="1016"/>
        <w:gridCol w:w="1041"/>
        <w:gridCol w:w="1331"/>
        <w:gridCol w:w="1270"/>
        <w:gridCol w:w="1403"/>
        <w:gridCol w:w="896"/>
        <w:gridCol w:w="1384"/>
      </w:tblGrid>
      <w:tr w:rsidR="00505EBF">
        <w:tc>
          <w:tcPr>
            <w:tcW w:w="1754" w:type="dxa"/>
          </w:tcPr>
          <w:p w:rsidR="00505EBF" w:rsidRDefault="00505EBF">
            <w:r>
              <w:t>Grade Level</w:t>
            </w:r>
          </w:p>
        </w:tc>
        <w:tc>
          <w:tcPr>
            <w:tcW w:w="1336" w:type="dxa"/>
          </w:tcPr>
          <w:p w:rsidR="00505EBF" w:rsidRDefault="00505EBF">
            <w:r>
              <w:t>Meeting Days</w:t>
            </w:r>
          </w:p>
        </w:tc>
        <w:tc>
          <w:tcPr>
            <w:tcW w:w="1016" w:type="dxa"/>
          </w:tcPr>
          <w:p w:rsidR="00505EBF" w:rsidRDefault="00505EBF">
            <w:r>
              <w:t>Meeting Time</w:t>
            </w:r>
          </w:p>
        </w:tc>
        <w:tc>
          <w:tcPr>
            <w:tcW w:w="1163" w:type="dxa"/>
          </w:tcPr>
          <w:p w:rsidR="00505EBF" w:rsidRDefault="00505EBF">
            <w:r>
              <w:t>Staff</w:t>
            </w:r>
          </w:p>
        </w:tc>
        <w:tc>
          <w:tcPr>
            <w:tcW w:w="1456" w:type="dxa"/>
          </w:tcPr>
          <w:p w:rsidR="00505EBF" w:rsidRDefault="00505EBF"/>
        </w:tc>
        <w:tc>
          <w:tcPr>
            <w:tcW w:w="976" w:type="dxa"/>
          </w:tcPr>
          <w:p w:rsidR="00505EBF" w:rsidRDefault="00505EBF"/>
        </w:tc>
        <w:tc>
          <w:tcPr>
            <w:tcW w:w="1150" w:type="dxa"/>
          </w:tcPr>
          <w:p w:rsidR="00505EBF" w:rsidRDefault="00505EBF"/>
        </w:tc>
        <w:tc>
          <w:tcPr>
            <w:tcW w:w="896" w:type="dxa"/>
          </w:tcPr>
          <w:p w:rsidR="00505EBF" w:rsidRDefault="00505EBF"/>
        </w:tc>
        <w:tc>
          <w:tcPr>
            <w:tcW w:w="1550" w:type="dxa"/>
          </w:tcPr>
          <w:p w:rsidR="00505EBF" w:rsidRDefault="00505EBF"/>
        </w:tc>
      </w:tr>
      <w:tr w:rsidR="00505EBF">
        <w:tc>
          <w:tcPr>
            <w:tcW w:w="1754" w:type="dxa"/>
          </w:tcPr>
          <w:p w:rsidR="00505EBF" w:rsidRDefault="00505EBF">
            <w:r>
              <w:t>7</w:t>
            </w:r>
            <w:r>
              <w:rPr>
                <w:vertAlign w:val="superscript"/>
              </w:rPr>
              <w:t xml:space="preserve">th </w:t>
            </w:r>
            <w:r w:rsidR="006A16B8">
              <w:t>/</w:t>
            </w:r>
            <w:r>
              <w:t>8</w:t>
            </w:r>
            <w:r w:rsidRPr="006A16B8">
              <w:rPr>
                <w:vertAlign w:val="superscript"/>
              </w:rPr>
              <w:t>th</w:t>
            </w:r>
            <w:r w:rsidR="006A16B8">
              <w:t>/9th</w:t>
            </w:r>
            <w:r>
              <w:t xml:space="preserve"> Grade</w:t>
            </w:r>
          </w:p>
        </w:tc>
        <w:tc>
          <w:tcPr>
            <w:tcW w:w="1336" w:type="dxa"/>
          </w:tcPr>
          <w:p w:rsidR="00505EBF" w:rsidRDefault="00505EBF">
            <w:r>
              <w:t>Wednesday</w:t>
            </w:r>
          </w:p>
        </w:tc>
        <w:tc>
          <w:tcPr>
            <w:tcW w:w="1016" w:type="dxa"/>
          </w:tcPr>
          <w:p w:rsidR="00505EBF" w:rsidRDefault="00505EBF">
            <w:r>
              <w:t>7:30 am</w:t>
            </w:r>
          </w:p>
        </w:tc>
        <w:tc>
          <w:tcPr>
            <w:tcW w:w="1163" w:type="dxa"/>
          </w:tcPr>
          <w:p w:rsidR="00505EBF" w:rsidRDefault="006A16B8">
            <w:r>
              <w:t>Miller</w:t>
            </w:r>
          </w:p>
        </w:tc>
        <w:tc>
          <w:tcPr>
            <w:tcW w:w="1456" w:type="dxa"/>
          </w:tcPr>
          <w:p w:rsidR="00505EBF" w:rsidRDefault="00505EBF">
            <w:proofErr w:type="spellStart"/>
            <w:r>
              <w:t>Brechbill</w:t>
            </w:r>
            <w:proofErr w:type="spellEnd"/>
          </w:p>
        </w:tc>
        <w:tc>
          <w:tcPr>
            <w:tcW w:w="976" w:type="dxa"/>
          </w:tcPr>
          <w:p w:rsidR="00505EBF" w:rsidRDefault="00505EBF">
            <w:r>
              <w:t>Brown, A.</w:t>
            </w:r>
          </w:p>
        </w:tc>
        <w:tc>
          <w:tcPr>
            <w:tcW w:w="1150" w:type="dxa"/>
          </w:tcPr>
          <w:p w:rsidR="00505EBF" w:rsidRDefault="006A16B8">
            <w:proofErr w:type="spellStart"/>
            <w:r>
              <w:t>Mendlik</w:t>
            </w:r>
            <w:proofErr w:type="spellEnd"/>
          </w:p>
        </w:tc>
        <w:tc>
          <w:tcPr>
            <w:tcW w:w="896" w:type="dxa"/>
          </w:tcPr>
          <w:p w:rsidR="00505EBF" w:rsidRDefault="006A16B8">
            <w:proofErr w:type="spellStart"/>
            <w:r>
              <w:t>Hoien</w:t>
            </w:r>
            <w:proofErr w:type="spellEnd"/>
          </w:p>
        </w:tc>
        <w:tc>
          <w:tcPr>
            <w:tcW w:w="1550" w:type="dxa"/>
          </w:tcPr>
          <w:p w:rsidR="00505EBF" w:rsidRDefault="00505EBF">
            <w:proofErr w:type="spellStart"/>
            <w:r>
              <w:t>Liekhus</w:t>
            </w:r>
            <w:proofErr w:type="spellEnd"/>
          </w:p>
        </w:tc>
      </w:tr>
      <w:tr w:rsidR="00505EBF">
        <w:tc>
          <w:tcPr>
            <w:tcW w:w="1754" w:type="dxa"/>
          </w:tcPr>
          <w:p w:rsidR="00505EBF" w:rsidRDefault="00505EBF"/>
        </w:tc>
        <w:tc>
          <w:tcPr>
            <w:tcW w:w="1336" w:type="dxa"/>
          </w:tcPr>
          <w:p w:rsidR="00505EBF" w:rsidRDefault="00505EBF"/>
        </w:tc>
        <w:tc>
          <w:tcPr>
            <w:tcW w:w="1016" w:type="dxa"/>
          </w:tcPr>
          <w:p w:rsidR="00505EBF" w:rsidRDefault="00505EBF" w:rsidP="00505EBF"/>
        </w:tc>
        <w:tc>
          <w:tcPr>
            <w:tcW w:w="1163" w:type="dxa"/>
          </w:tcPr>
          <w:p w:rsidR="00505EBF" w:rsidRDefault="006A16B8">
            <w:proofErr w:type="spellStart"/>
            <w:r>
              <w:t>McKie</w:t>
            </w:r>
            <w:proofErr w:type="spellEnd"/>
          </w:p>
        </w:tc>
        <w:tc>
          <w:tcPr>
            <w:tcW w:w="1456" w:type="dxa"/>
          </w:tcPr>
          <w:p w:rsidR="00505EBF" w:rsidRDefault="00505EBF">
            <w:r>
              <w:t>Schwartz</w:t>
            </w:r>
            <w:r w:rsidR="006A16B8">
              <w:t xml:space="preserve">, D. </w:t>
            </w:r>
          </w:p>
        </w:tc>
        <w:tc>
          <w:tcPr>
            <w:tcW w:w="976" w:type="dxa"/>
          </w:tcPr>
          <w:p w:rsidR="00505EBF" w:rsidRDefault="00505EBF">
            <w:proofErr w:type="spellStart"/>
            <w:r>
              <w:t>Spotanski</w:t>
            </w:r>
            <w:proofErr w:type="spellEnd"/>
          </w:p>
        </w:tc>
        <w:tc>
          <w:tcPr>
            <w:tcW w:w="1150" w:type="dxa"/>
          </w:tcPr>
          <w:p w:rsidR="00505EBF" w:rsidRDefault="006A16B8">
            <w:proofErr w:type="spellStart"/>
            <w:r>
              <w:t>Beyke</w:t>
            </w:r>
            <w:proofErr w:type="spellEnd"/>
          </w:p>
        </w:tc>
        <w:tc>
          <w:tcPr>
            <w:tcW w:w="896" w:type="dxa"/>
          </w:tcPr>
          <w:p w:rsidR="00505EBF" w:rsidRDefault="00505EBF"/>
        </w:tc>
        <w:tc>
          <w:tcPr>
            <w:tcW w:w="1550" w:type="dxa"/>
          </w:tcPr>
          <w:p w:rsidR="00505EBF" w:rsidRDefault="00505EBF"/>
        </w:tc>
      </w:tr>
      <w:tr w:rsidR="00505EBF">
        <w:tc>
          <w:tcPr>
            <w:tcW w:w="1754" w:type="dxa"/>
          </w:tcPr>
          <w:p w:rsidR="00505EBF" w:rsidRDefault="00505EBF"/>
        </w:tc>
        <w:tc>
          <w:tcPr>
            <w:tcW w:w="1336" w:type="dxa"/>
          </w:tcPr>
          <w:p w:rsidR="00505EBF" w:rsidRDefault="00505EBF"/>
        </w:tc>
        <w:tc>
          <w:tcPr>
            <w:tcW w:w="1016" w:type="dxa"/>
          </w:tcPr>
          <w:p w:rsidR="00505EBF" w:rsidRDefault="00505EBF"/>
        </w:tc>
        <w:tc>
          <w:tcPr>
            <w:tcW w:w="1163" w:type="dxa"/>
          </w:tcPr>
          <w:p w:rsidR="00505EBF" w:rsidRDefault="00505EBF"/>
        </w:tc>
        <w:tc>
          <w:tcPr>
            <w:tcW w:w="1456" w:type="dxa"/>
          </w:tcPr>
          <w:p w:rsidR="00505EBF" w:rsidRDefault="00505EBF"/>
        </w:tc>
        <w:tc>
          <w:tcPr>
            <w:tcW w:w="976" w:type="dxa"/>
          </w:tcPr>
          <w:p w:rsidR="00505EBF" w:rsidRDefault="00505EBF"/>
        </w:tc>
        <w:tc>
          <w:tcPr>
            <w:tcW w:w="1150" w:type="dxa"/>
          </w:tcPr>
          <w:p w:rsidR="00505EBF" w:rsidRDefault="00505EBF"/>
        </w:tc>
        <w:tc>
          <w:tcPr>
            <w:tcW w:w="896" w:type="dxa"/>
          </w:tcPr>
          <w:p w:rsidR="00505EBF" w:rsidRDefault="00505EBF"/>
        </w:tc>
        <w:tc>
          <w:tcPr>
            <w:tcW w:w="1550" w:type="dxa"/>
          </w:tcPr>
          <w:p w:rsidR="00505EBF" w:rsidRDefault="00505EBF"/>
        </w:tc>
      </w:tr>
      <w:tr w:rsidR="00505EBF">
        <w:tc>
          <w:tcPr>
            <w:tcW w:w="1754" w:type="dxa"/>
          </w:tcPr>
          <w:p w:rsidR="00505EBF" w:rsidRDefault="00505EBF">
            <w:r>
              <w:t>10</w:t>
            </w:r>
            <w:r w:rsidRPr="00152D17">
              <w:rPr>
                <w:vertAlign w:val="superscript"/>
              </w:rPr>
              <w:t>th</w:t>
            </w:r>
            <w:r>
              <w:t>/11</w:t>
            </w:r>
            <w:r>
              <w:rPr>
                <w:vertAlign w:val="superscript"/>
              </w:rPr>
              <w:t>th</w:t>
            </w:r>
            <w:r>
              <w:t>/</w:t>
            </w:r>
            <w:proofErr w:type="gramStart"/>
            <w:r>
              <w:t>12</w:t>
            </w:r>
            <w:r w:rsidRPr="00152D17">
              <w:rPr>
                <w:vertAlign w:val="superscript"/>
              </w:rPr>
              <w:t>th</w:t>
            </w:r>
            <w:r>
              <w:t xml:space="preserve">  Grade</w:t>
            </w:r>
            <w:proofErr w:type="gramEnd"/>
          </w:p>
        </w:tc>
        <w:tc>
          <w:tcPr>
            <w:tcW w:w="1336" w:type="dxa"/>
          </w:tcPr>
          <w:p w:rsidR="00505EBF" w:rsidRDefault="00505EBF">
            <w:r>
              <w:t>Wednesday</w:t>
            </w:r>
          </w:p>
        </w:tc>
        <w:tc>
          <w:tcPr>
            <w:tcW w:w="1016" w:type="dxa"/>
          </w:tcPr>
          <w:p w:rsidR="00505EBF" w:rsidRDefault="00505EBF" w:rsidP="006A16B8">
            <w:r>
              <w:t>7:30 am</w:t>
            </w:r>
          </w:p>
        </w:tc>
        <w:tc>
          <w:tcPr>
            <w:tcW w:w="1163" w:type="dxa"/>
          </w:tcPr>
          <w:p w:rsidR="00505EBF" w:rsidRDefault="00505EBF"/>
        </w:tc>
        <w:tc>
          <w:tcPr>
            <w:tcW w:w="1456" w:type="dxa"/>
          </w:tcPr>
          <w:p w:rsidR="00505EBF" w:rsidRDefault="00505EBF">
            <w:r>
              <w:t>Blum</w:t>
            </w:r>
          </w:p>
        </w:tc>
        <w:tc>
          <w:tcPr>
            <w:tcW w:w="976" w:type="dxa"/>
          </w:tcPr>
          <w:p w:rsidR="00505EBF" w:rsidRDefault="00505EBF">
            <w:r>
              <w:t>Hirschman</w:t>
            </w:r>
          </w:p>
        </w:tc>
        <w:tc>
          <w:tcPr>
            <w:tcW w:w="1150" w:type="dxa"/>
          </w:tcPr>
          <w:p w:rsidR="00505EBF" w:rsidRDefault="00505EBF" w:rsidP="006A16B8">
            <w:proofErr w:type="spellStart"/>
            <w:r>
              <w:t>Jessen</w:t>
            </w:r>
            <w:proofErr w:type="spellEnd"/>
          </w:p>
        </w:tc>
        <w:tc>
          <w:tcPr>
            <w:tcW w:w="896" w:type="dxa"/>
          </w:tcPr>
          <w:p w:rsidR="00505EBF" w:rsidRDefault="006A16B8">
            <w:proofErr w:type="spellStart"/>
            <w:r>
              <w:t>Ernesti</w:t>
            </w:r>
            <w:proofErr w:type="spellEnd"/>
          </w:p>
        </w:tc>
        <w:tc>
          <w:tcPr>
            <w:tcW w:w="1550" w:type="dxa"/>
          </w:tcPr>
          <w:p w:rsidR="00505EBF" w:rsidRDefault="006A16B8">
            <w:r>
              <w:t>Schwartz, M.</w:t>
            </w:r>
          </w:p>
        </w:tc>
      </w:tr>
      <w:tr w:rsidR="00505EBF">
        <w:tc>
          <w:tcPr>
            <w:tcW w:w="1754" w:type="dxa"/>
          </w:tcPr>
          <w:p w:rsidR="00505EBF" w:rsidRDefault="00505EBF"/>
        </w:tc>
        <w:tc>
          <w:tcPr>
            <w:tcW w:w="1336" w:type="dxa"/>
          </w:tcPr>
          <w:p w:rsidR="00505EBF" w:rsidRDefault="00505EBF" w:rsidP="006A16B8"/>
        </w:tc>
        <w:tc>
          <w:tcPr>
            <w:tcW w:w="1016" w:type="dxa"/>
          </w:tcPr>
          <w:p w:rsidR="00505EBF" w:rsidRDefault="00505EBF" w:rsidP="00505EBF"/>
        </w:tc>
        <w:tc>
          <w:tcPr>
            <w:tcW w:w="1163" w:type="dxa"/>
          </w:tcPr>
          <w:p w:rsidR="00505EBF" w:rsidRDefault="006A16B8">
            <w:r>
              <w:t>Paxton</w:t>
            </w:r>
          </w:p>
        </w:tc>
        <w:tc>
          <w:tcPr>
            <w:tcW w:w="1456" w:type="dxa"/>
          </w:tcPr>
          <w:p w:rsidR="00505EBF" w:rsidRDefault="00505EBF">
            <w:proofErr w:type="spellStart"/>
            <w:r>
              <w:t>Seeman</w:t>
            </w:r>
            <w:proofErr w:type="spellEnd"/>
            <w:r>
              <w:t>, R.</w:t>
            </w:r>
          </w:p>
        </w:tc>
        <w:tc>
          <w:tcPr>
            <w:tcW w:w="976" w:type="dxa"/>
          </w:tcPr>
          <w:p w:rsidR="00505EBF" w:rsidRDefault="006A16B8">
            <w:proofErr w:type="spellStart"/>
            <w:r>
              <w:t>Renn</w:t>
            </w:r>
            <w:proofErr w:type="spellEnd"/>
          </w:p>
        </w:tc>
        <w:tc>
          <w:tcPr>
            <w:tcW w:w="1150" w:type="dxa"/>
          </w:tcPr>
          <w:p w:rsidR="00505EBF" w:rsidRDefault="00505EBF">
            <w:r>
              <w:t>Waddington</w:t>
            </w:r>
          </w:p>
        </w:tc>
        <w:tc>
          <w:tcPr>
            <w:tcW w:w="896" w:type="dxa"/>
          </w:tcPr>
          <w:p w:rsidR="00505EBF" w:rsidRDefault="00505EBF" w:rsidP="00505EBF"/>
        </w:tc>
        <w:tc>
          <w:tcPr>
            <w:tcW w:w="1550" w:type="dxa"/>
          </w:tcPr>
          <w:p w:rsidR="00505EBF" w:rsidRDefault="00505EBF"/>
        </w:tc>
      </w:tr>
    </w:tbl>
    <w:p w:rsidR="00505EBF" w:rsidRDefault="00505EBF" w:rsidP="00505EBF"/>
    <w:p w:rsidR="00505EBF" w:rsidRDefault="00505EBF" w:rsidP="00505EBF">
      <w:r>
        <w:t>M</w:t>
      </w:r>
      <w:r w:rsidR="006A16B8">
        <w:t xml:space="preserve">r. Cunningham and Mrs. </w:t>
      </w:r>
      <w:proofErr w:type="spellStart"/>
      <w:r w:rsidR="006A16B8">
        <w:t>Fernau</w:t>
      </w:r>
      <w:proofErr w:type="spellEnd"/>
      <w:r>
        <w:t xml:space="preserve"> will be at all meetings. Our focus will start with the fail and about to fail list. </w:t>
      </w:r>
      <w:r w:rsidR="006A16B8">
        <w:t>Teachers need to keep track of interventions that have been tried with their students.</w:t>
      </w:r>
      <w:r>
        <w:t xml:space="preserve"> This is a great start to RTI and helping give our SAT team a better understanding of the interventions before a student goes to the SAT team. Morgan Cook (7/8) and Kathy Meyer (9/12) will be involved in the meetings as well and will need to advise on </w:t>
      </w:r>
      <w:proofErr w:type="spellStart"/>
      <w:r>
        <w:t>IEP’s</w:t>
      </w:r>
      <w:proofErr w:type="spellEnd"/>
      <w:r>
        <w:t xml:space="preserve"> and accommodations not being utilized. </w:t>
      </w:r>
    </w:p>
    <w:p w:rsidR="00505EBF" w:rsidRDefault="00505EBF" w:rsidP="00505EBF"/>
    <w:p w:rsidR="00505EBF" w:rsidRDefault="00505EBF" w:rsidP="00505EBF">
      <w:r>
        <w:t>AGENDA of Meetings</w:t>
      </w:r>
      <w:r w:rsidR="006A16B8">
        <w:t xml:space="preserve"> – We will follow the agenda to the letter. Please document all interventions and parent communications. </w:t>
      </w:r>
    </w:p>
    <w:p w:rsidR="00505EBF" w:rsidRDefault="00505EBF" w:rsidP="00505EBF">
      <w:r>
        <w:t>Topic of discussion on each student – Effective individual instructional strategies</w:t>
      </w:r>
    </w:p>
    <w:p w:rsidR="00505EBF" w:rsidRDefault="00505EBF" w:rsidP="00505EBF">
      <w:r>
        <w:tab/>
      </w:r>
      <w:r>
        <w:tab/>
      </w:r>
      <w:r>
        <w:tab/>
      </w:r>
      <w:r>
        <w:tab/>
      </w:r>
      <w:r>
        <w:tab/>
        <w:t>Changes in behavior or mood</w:t>
      </w:r>
    </w:p>
    <w:p w:rsidR="00505EBF" w:rsidRDefault="00505EBF" w:rsidP="00505EBF">
      <w:r>
        <w:tab/>
      </w:r>
      <w:r>
        <w:tab/>
      </w:r>
      <w:r>
        <w:tab/>
      </w:r>
      <w:r>
        <w:tab/>
      </w:r>
      <w:r>
        <w:tab/>
        <w:t>Actions taken to correct the issues - interventions</w:t>
      </w:r>
    </w:p>
    <w:p w:rsidR="00505EBF" w:rsidRDefault="00505EBF" w:rsidP="00505EBF">
      <w:r>
        <w:tab/>
      </w:r>
      <w:r>
        <w:tab/>
      </w:r>
      <w:r>
        <w:tab/>
      </w:r>
      <w:r>
        <w:tab/>
      </w:r>
      <w:r>
        <w:tab/>
        <w:t>Plan of action to remedy issues</w:t>
      </w:r>
    </w:p>
    <w:p w:rsidR="00505EBF" w:rsidRDefault="00505EBF" w:rsidP="00505EBF">
      <w:r>
        <w:tab/>
      </w:r>
      <w:r>
        <w:tab/>
      </w:r>
      <w:r>
        <w:tab/>
      </w:r>
      <w:r>
        <w:tab/>
      </w:r>
      <w:r>
        <w:tab/>
        <w:t>Parent communication</w:t>
      </w:r>
    </w:p>
    <w:p w:rsidR="00505EBF" w:rsidRDefault="00505EBF" w:rsidP="00505EBF"/>
    <w:p w:rsidR="00505EBF" w:rsidRDefault="00505EBF" w:rsidP="00505EBF"/>
    <w:p w:rsidR="00505EBF" w:rsidRDefault="006A16B8" w:rsidP="00505EBF">
      <w:r>
        <w:t>Meeting time is 7:30 am to 7:50</w:t>
      </w:r>
      <w:r w:rsidR="00505EBF">
        <w:t xml:space="preserve"> am every other week. </w:t>
      </w:r>
    </w:p>
    <w:p w:rsidR="00505EBF" w:rsidRDefault="00505EBF" w:rsidP="00505EBF"/>
    <w:p w:rsidR="00505EBF" w:rsidRDefault="00505EBF" w:rsidP="00505EBF">
      <w:proofErr w:type="gramStart"/>
      <w:r>
        <w:t>7</w:t>
      </w:r>
      <w:r w:rsidRPr="004A2B4F">
        <w:rPr>
          <w:vertAlign w:val="superscript"/>
        </w:rPr>
        <w:t>th</w:t>
      </w:r>
      <w:r w:rsidR="006A16B8">
        <w:t xml:space="preserve"> ,</w:t>
      </w:r>
      <w:r>
        <w:t>8</w:t>
      </w:r>
      <w:r w:rsidRPr="00505EBF">
        <w:rPr>
          <w:vertAlign w:val="superscript"/>
        </w:rPr>
        <w:t>th</w:t>
      </w:r>
      <w:proofErr w:type="gramEnd"/>
      <w:r w:rsidR="006A16B8">
        <w:rPr>
          <w:vertAlign w:val="superscript"/>
        </w:rPr>
        <w:t xml:space="preserve"> </w:t>
      </w:r>
      <w:r w:rsidR="006A16B8">
        <w:t>, 9</w:t>
      </w:r>
      <w:r w:rsidR="006A16B8" w:rsidRPr="006A16B8">
        <w:rPr>
          <w:vertAlign w:val="superscript"/>
        </w:rPr>
        <w:t>th</w:t>
      </w:r>
      <w:r w:rsidR="006A16B8">
        <w:t xml:space="preserve"> </w:t>
      </w:r>
      <w:r>
        <w:t xml:space="preserve"> grade meetings – </w:t>
      </w:r>
      <w:r w:rsidR="006A16B8">
        <w:t>September 23</w:t>
      </w:r>
      <w:r w:rsidR="006A16B8" w:rsidRPr="006A16B8">
        <w:rPr>
          <w:vertAlign w:val="superscript"/>
        </w:rPr>
        <w:t>rd</w:t>
      </w:r>
      <w:r w:rsidR="006A16B8">
        <w:t>; October 7</w:t>
      </w:r>
      <w:r w:rsidR="006A16B8" w:rsidRPr="006A16B8">
        <w:rPr>
          <w:vertAlign w:val="superscript"/>
        </w:rPr>
        <w:t>th</w:t>
      </w:r>
      <w:r w:rsidR="006A16B8">
        <w:t>, 21</w:t>
      </w:r>
      <w:r w:rsidR="006A16B8" w:rsidRPr="006A16B8">
        <w:rPr>
          <w:vertAlign w:val="superscript"/>
        </w:rPr>
        <w:t>st</w:t>
      </w:r>
      <w:r w:rsidR="006A16B8">
        <w:t>; November 4</w:t>
      </w:r>
      <w:r w:rsidR="006A16B8" w:rsidRPr="006A16B8">
        <w:rPr>
          <w:vertAlign w:val="superscript"/>
        </w:rPr>
        <w:t>th</w:t>
      </w:r>
      <w:r w:rsidR="006A16B8">
        <w:t>, 18</w:t>
      </w:r>
      <w:r w:rsidR="006A16B8" w:rsidRPr="006A16B8">
        <w:rPr>
          <w:vertAlign w:val="superscript"/>
        </w:rPr>
        <w:t>th</w:t>
      </w:r>
      <w:r w:rsidR="006A16B8">
        <w:t>, December 9</w:t>
      </w:r>
      <w:r w:rsidR="006A16B8" w:rsidRPr="006A16B8">
        <w:rPr>
          <w:vertAlign w:val="superscript"/>
        </w:rPr>
        <w:t>th</w:t>
      </w:r>
    </w:p>
    <w:p w:rsidR="006A16B8" w:rsidRDefault="00505EBF">
      <w:r>
        <w:t>10</w:t>
      </w:r>
      <w:r w:rsidRPr="00505EBF">
        <w:rPr>
          <w:vertAlign w:val="superscript"/>
        </w:rPr>
        <w:t>th</w:t>
      </w:r>
      <w:r>
        <w:t>, 11</w:t>
      </w:r>
      <w:r w:rsidRPr="00505EBF">
        <w:rPr>
          <w:vertAlign w:val="superscript"/>
        </w:rPr>
        <w:t>th</w:t>
      </w:r>
      <w:r>
        <w:t>, 12</w:t>
      </w:r>
      <w:r w:rsidRPr="00505EBF">
        <w:rPr>
          <w:vertAlign w:val="superscript"/>
        </w:rPr>
        <w:t>th</w:t>
      </w:r>
      <w:r>
        <w:t xml:space="preserve"> grade meetings – </w:t>
      </w:r>
      <w:r w:rsidR="006A16B8">
        <w:t>September 30</w:t>
      </w:r>
      <w:r w:rsidR="006A16B8" w:rsidRPr="006A16B8">
        <w:rPr>
          <w:vertAlign w:val="superscript"/>
        </w:rPr>
        <w:t>th</w:t>
      </w:r>
      <w:r w:rsidR="006A16B8">
        <w:t>, October 14</w:t>
      </w:r>
      <w:r w:rsidR="006A16B8" w:rsidRPr="006A16B8">
        <w:rPr>
          <w:vertAlign w:val="superscript"/>
        </w:rPr>
        <w:t>th</w:t>
      </w:r>
      <w:r w:rsidR="006A16B8">
        <w:t>, 28</w:t>
      </w:r>
      <w:r w:rsidR="006A16B8" w:rsidRPr="006A16B8">
        <w:rPr>
          <w:vertAlign w:val="superscript"/>
        </w:rPr>
        <w:t>th</w:t>
      </w:r>
      <w:r w:rsidR="006A16B8">
        <w:t>; November 11</w:t>
      </w:r>
      <w:r w:rsidR="006A16B8" w:rsidRPr="006A16B8">
        <w:rPr>
          <w:vertAlign w:val="superscript"/>
        </w:rPr>
        <w:t>th</w:t>
      </w:r>
      <w:r w:rsidR="006A16B8">
        <w:t>; December 2</w:t>
      </w:r>
      <w:r w:rsidR="006A16B8" w:rsidRPr="006A16B8">
        <w:rPr>
          <w:vertAlign w:val="superscript"/>
        </w:rPr>
        <w:t>nd</w:t>
      </w:r>
      <w:r w:rsidR="006A16B8">
        <w:t>, 16</w:t>
      </w:r>
      <w:r w:rsidR="006A16B8" w:rsidRPr="006A16B8">
        <w:rPr>
          <w:vertAlign w:val="superscript"/>
        </w:rPr>
        <w:t>th</w:t>
      </w:r>
      <w:r w:rsidR="006A16B8">
        <w:t xml:space="preserve"> </w:t>
      </w:r>
    </w:p>
    <w:sectPr w:rsidR="006A16B8" w:rsidSect="006A16B8">
      <w:headerReference w:type="default" r:id="rId4"/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6B8" w:rsidRDefault="00CD58F1" w:rsidP="006A16B8">
    <w:pPr>
      <w:pStyle w:val="Header"/>
      <w:jc w:val="center"/>
    </w:pPr>
    <w:r>
      <w:t>Grade Level Meetings Fall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05EBF"/>
    <w:rsid w:val="00505EBF"/>
    <w:rsid w:val="006A16B8"/>
    <w:rsid w:val="00CD58F1"/>
    <w:rsid w:val="00CE4CE2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B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05E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5E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EB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05E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EBF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Macintosh Word</Application>
  <DocSecurity>0</DocSecurity>
  <Lines>9</Lines>
  <Paragraphs>2</Paragraphs>
  <ScaleCrop>false</ScaleCrop>
  <Company>Stanton Community Schools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Cunningham</dc:creator>
  <cp:keywords/>
  <cp:lastModifiedBy>David Cunningham</cp:lastModifiedBy>
  <cp:revision>2</cp:revision>
  <dcterms:created xsi:type="dcterms:W3CDTF">2015-09-14T18:39:00Z</dcterms:created>
  <dcterms:modified xsi:type="dcterms:W3CDTF">2015-09-14T18:39:00Z</dcterms:modified>
</cp:coreProperties>
</file>